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31E" w:rsidRDefault="008B131E" w:rsidP="004F4019">
      <w:pPr>
        <w:rPr>
          <w:rFonts w:ascii="Times New Roman" w:hAnsi="Times New Roman" w:cs="Times New Roman"/>
          <w:sz w:val="24"/>
          <w:szCs w:val="24"/>
        </w:rPr>
      </w:pPr>
      <w:r>
        <w:rPr>
          <w:rFonts w:ascii="Times New Roman" w:hAnsi="Times New Roman" w:cs="Times New Roman"/>
          <w:sz w:val="24"/>
          <w:szCs w:val="24"/>
        </w:rPr>
        <w:t>Ryan Cecil Jobson</w:t>
      </w:r>
    </w:p>
    <w:p w:rsidR="004F4019" w:rsidRDefault="004F4019" w:rsidP="004F4019">
      <w:pPr>
        <w:rPr>
          <w:rFonts w:ascii="Times New Roman" w:hAnsi="Times New Roman" w:cs="Times New Roman"/>
          <w:sz w:val="24"/>
          <w:szCs w:val="24"/>
        </w:rPr>
      </w:pPr>
      <w:r>
        <w:rPr>
          <w:rFonts w:ascii="Times New Roman" w:hAnsi="Times New Roman" w:cs="Times New Roman"/>
          <w:sz w:val="24"/>
          <w:szCs w:val="24"/>
        </w:rPr>
        <w:t xml:space="preserve">John L. Jackson, </w:t>
      </w:r>
      <w:proofErr w:type="gramStart"/>
      <w:r>
        <w:rPr>
          <w:rFonts w:ascii="Times New Roman" w:hAnsi="Times New Roman" w:cs="Times New Roman"/>
          <w:sz w:val="24"/>
          <w:szCs w:val="24"/>
        </w:rPr>
        <w:t>Jr..</w:t>
      </w:r>
      <w:proofErr w:type="gramEnd"/>
      <w:r>
        <w:rPr>
          <w:rFonts w:ascii="Times New Roman" w:hAnsi="Times New Roman" w:cs="Times New Roman"/>
          <w:sz w:val="24"/>
          <w:szCs w:val="24"/>
        </w:rPr>
        <w:t xml:space="preserve"> </w:t>
      </w:r>
      <w:r>
        <w:rPr>
          <w:rFonts w:ascii="Times New Roman" w:hAnsi="Times New Roman" w:cs="Times New Roman"/>
          <w:i/>
          <w:sz w:val="24"/>
          <w:szCs w:val="24"/>
        </w:rPr>
        <w:t>Thin Description: Ethnography and the African Hebrew Israelites of Jerusalem</w:t>
      </w:r>
      <w:r>
        <w:rPr>
          <w:rFonts w:ascii="Times New Roman" w:hAnsi="Times New Roman" w:cs="Times New Roman"/>
          <w:sz w:val="24"/>
          <w:szCs w:val="24"/>
        </w:rPr>
        <w:t>. Cambridge, MA: Harvard University Press, 2013. x + 394 pp.</w:t>
      </w:r>
    </w:p>
    <w:p w:rsidR="004F4019" w:rsidRPr="00206097" w:rsidRDefault="004F4019" w:rsidP="004F4019">
      <w:pPr>
        <w:ind w:firstLine="720"/>
        <w:rPr>
          <w:rFonts w:ascii="Times New Roman" w:hAnsi="Times New Roman" w:cs="Times New Roman"/>
          <w:sz w:val="24"/>
          <w:szCs w:val="24"/>
        </w:rPr>
      </w:pPr>
      <w:r w:rsidRPr="00206097">
        <w:rPr>
          <w:rFonts w:ascii="Times New Roman" w:hAnsi="Times New Roman" w:cs="Times New Roman"/>
          <w:sz w:val="24"/>
          <w:szCs w:val="24"/>
        </w:rPr>
        <w:t xml:space="preserve">It is telling that </w:t>
      </w:r>
      <w:r w:rsidRPr="00206097">
        <w:rPr>
          <w:rFonts w:ascii="Times New Roman" w:hAnsi="Times New Roman" w:cs="Times New Roman"/>
          <w:i/>
          <w:sz w:val="24"/>
          <w:szCs w:val="24"/>
        </w:rPr>
        <w:t>Thin Description: Ethnography and the African Hebrew Israelites of Jerusalem</w:t>
      </w:r>
      <w:r w:rsidRPr="00206097">
        <w:rPr>
          <w:rFonts w:ascii="Times New Roman" w:hAnsi="Times New Roman" w:cs="Times New Roman"/>
          <w:sz w:val="24"/>
          <w:szCs w:val="24"/>
        </w:rPr>
        <w:t>, a monograph that so blatantly defies ethnographic convention,</w:t>
      </w:r>
      <w:r w:rsidRPr="00206097">
        <w:rPr>
          <w:rFonts w:ascii="Times New Roman" w:hAnsi="Times New Roman" w:cs="Times New Roman"/>
          <w:i/>
          <w:sz w:val="24"/>
          <w:szCs w:val="24"/>
        </w:rPr>
        <w:t xml:space="preserve"> </w:t>
      </w:r>
      <w:r w:rsidRPr="00206097">
        <w:rPr>
          <w:rFonts w:ascii="Times New Roman" w:hAnsi="Times New Roman" w:cs="Times New Roman"/>
          <w:sz w:val="24"/>
          <w:szCs w:val="24"/>
        </w:rPr>
        <w:t xml:space="preserve">opens on an airplane </w:t>
      </w:r>
      <w:proofErr w:type="spellStart"/>
      <w:r w:rsidRPr="00206097">
        <w:rPr>
          <w:rFonts w:ascii="Times New Roman" w:hAnsi="Times New Roman" w:cs="Times New Roman"/>
          <w:sz w:val="24"/>
          <w:szCs w:val="24"/>
        </w:rPr>
        <w:t>en</w:t>
      </w:r>
      <w:proofErr w:type="spellEnd"/>
      <w:r w:rsidRPr="00206097">
        <w:rPr>
          <w:rFonts w:ascii="Times New Roman" w:hAnsi="Times New Roman" w:cs="Times New Roman"/>
          <w:sz w:val="24"/>
          <w:szCs w:val="24"/>
        </w:rPr>
        <w:t xml:space="preserve"> route to the Holy Land. As John Jackson later details, the classical anthropological trope of the “arrival scene” is an authenticating gesture, but one that finds little purchase in social worlds that abound with digital media technologies and accompanying “field-sites…[that] come knocking at our doors or flitting across our computer screens” (2013:48). In lieu of an arrival, the reader is made privy to a departure</w:t>
      </w:r>
      <w:r w:rsidRPr="00206097">
        <w:rPr>
          <w:rFonts w:ascii="Times New Roman" w:hAnsi="Times New Roman" w:cs="Times New Roman"/>
          <w:i/>
          <w:sz w:val="24"/>
          <w:szCs w:val="24"/>
        </w:rPr>
        <w:t xml:space="preserve"> </w:t>
      </w:r>
      <w:r w:rsidRPr="00206097">
        <w:rPr>
          <w:rFonts w:ascii="Times New Roman" w:hAnsi="Times New Roman" w:cs="Times New Roman"/>
          <w:sz w:val="24"/>
          <w:szCs w:val="24"/>
        </w:rPr>
        <w:t xml:space="preserve">in a number of respects. By situating us in the cabin of a jetliner, Jackson makes clear that he has departed from the comforts of place, and along with it </w:t>
      </w:r>
      <w:r w:rsidR="00E973C2">
        <w:rPr>
          <w:rFonts w:ascii="Times New Roman" w:hAnsi="Times New Roman" w:cs="Times New Roman"/>
          <w:sz w:val="24"/>
          <w:szCs w:val="24"/>
        </w:rPr>
        <w:t xml:space="preserve">the </w:t>
      </w:r>
      <w:r w:rsidRPr="00206097">
        <w:rPr>
          <w:rFonts w:ascii="Times New Roman" w:hAnsi="Times New Roman" w:cs="Times New Roman"/>
          <w:sz w:val="24"/>
          <w:szCs w:val="24"/>
        </w:rPr>
        <w:t xml:space="preserve">comforts of an ethnographic paradigm that confers upon the anthropologist a divine right to interpretation. </w:t>
      </w:r>
    </w:p>
    <w:p w:rsidR="004F4019" w:rsidRPr="00206097" w:rsidRDefault="004F4019" w:rsidP="004F4019">
      <w:pPr>
        <w:ind w:firstLine="720"/>
        <w:rPr>
          <w:rFonts w:ascii="Times New Roman" w:hAnsi="Times New Roman" w:cs="Times New Roman"/>
          <w:sz w:val="24"/>
          <w:szCs w:val="24"/>
        </w:rPr>
      </w:pPr>
      <w:r w:rsidRPr="00206097">
        <w:rPr>
          <w:rFonts w:ascii="Times New Roman" w:hAnsi="Times New Roman" w:cs="Times New Roman"/>
          <w:sz w:val="24"/>
          <w:szCs w:val="24"/>
        </w:rPr>
        <w:t xml:space="preserve">As Jackson delves further into the mythos and idiosyncrasies </w:t>
      </w:r>
      <w:r>
        <w:rPr>
          <w:rFonts w:ascii="Times New Roman" w:hAnsi="Times New Roman" w:cs="Times New Roman"/>
          <w:sz w:val="24"/>
          <w:szCs w:val="24"/>
        </w:rPr>
        <w:t xml:space="preserve">of various </w:t>
      </w:r>
      <w:r w:rsidRPr="00206097">
        <w:rPr>
          <w:rFonts w:ascii="Times New Roman" w:hAnsi="Times New Roman" w:cs="Times New Roman"/>
          <w:sz w:val="24"/>
          <w:szCs w:val="24"/>
        </w:rPr>
        <w:t xml:space="preserve">Hebrew Israelite communities, it becomes apparent that there is no more appropriate place to begin than the shock of </w:t>
      </w:r>
      <w:r w:rsidRPr="00206097">
        <w:rPr>
          <w:rFonts w:ascii="Times New Roman" w:hAnsi="Times New Roman" w:cs="Times New Roman"/>
          <w:i/>
          <w:sz w:val="24"/>
          <w:szCs w:val="24"/>
        </w:rPr>
        <w:t>in medias res</w:t>
      </w:r>
      <w:r w:rsidR="00E973C2">
        <w:rPr>
          <w:rFonts w:ascii="Times New Roman" w:hAnsi="Times New Roman" w:cs="Times New Roman"/>
          <w:sz w:val="24"/>
          <w:szCs w:val="24"/>
        </w:rPr>
        <w:t>. J</w:t>
      </w:r>
      <w:r w:rsidRPr="00206097">
        <w:rPr>
          <w:rFonts w:ascii="Times New Roman" w:hAnsi="Times New Roman" w:cs="Times New Roman"/>
          <w:sz w:val="24"/>
          <w:szCs w:val="24"/>
        </w:rPr>
        <w:t xml:space="preserve">ust as an airplane is a </w:t>
      </w:r>
      <w:proofErr w:type="spellStart"/>
      <w:r w:rsidRPr="00206097">
        <w:rPr>
          <w:rFonts w:ascii="Times New Roman" w:hAnsi="Times New Roman" w:cs="Times New Roman"/>
          <w:sz w:val="24"/>
          <w:szCs w:val="24"/>
        </w:rPr>
        <w:t>nonplace</w:t>
      </w:r>
      <w:proofErr w:type="spellEnd"/>
      <w:r w:rsidRPr="00206097">
        <w:rPr>
          <w:rFonts w:ascii="Times New Roman" w:hAnsi="Times New Roman" w:cs="Times New Roman"/>
          <w:sz w:val="24"/>
          <w:szCs w:val="24"/>
        </w:rPr>
        <w:t xml:space="preserve"> situated betwixt disparate geographies, bureaucratic zones, and juridical authorities, the multifarious assemblages of African Hebrew Israelites are equally of this </w:t>
      </w:r>
      <w:proofErr w:type="spellStart"/>
      <w:r w:rsidRPr="00206097">
        <w:rPr>
          <w:rFonts w:ascii="Times New Roman" w:hAnsi="Times New Roman" w:cs="Times New Roman"/>
          <w:sz w:val="24"/>
          <w:szCs w:val="24"/>
        </w:rPr>
        <w:t>nonplace</w:t>
      </w:r>
      <w:proofErr w:type="spellEnd"/>
      <w:r w:rsidRPr="00206097">
        <w:rPr>
          <w:rFonts w:ascii="Times New Roman" w:hAnsi="Times New Roman" w:cs="Times New Roman"/>
          <w:sz w:val="24"/>
          <w:szCs w:val="24"/>
        </w:rPr>
        <w:t xml:space="preserve">, lacking a verifiable ontology or site of </w:t>
      </w:r>
      <w:proofErr w:type="spellStart"/>
      <w:r w:rsidRPr="00206097">
        <w:rPr>
          <w:rFonts w:ascii="Times New Roman" w:hAnsi="Times New Roman" w:cs="Times New Roman"/>
          <w:sz w:val="24"/>
          <w:szCs w:val="24"/>
        </w:rPr>
        <w:t>originary</w:t>
      </w:r>
      <w:proofErr w:type="spellEnd"/>
      <w:r w:rsidRPr="00206097">
        <w:rPr>
          <w:rFonts w:ascii="Times New Roman" w:hAnsi="Times New Roman" w:cs="Times New Roman"/>
          <w:sz w:val="24"/>
          <w:szCs w:val="24"/>
        </w:rPr>
        <w:t xml:space="preserve"> belonging. Anthropology has long been preoccupied with the question of origins, seeking out communities of authentic natives that are subsequently captured by the ossifying gaze of ethnographic representation. In their failure to conform to these rigid expectations, African Hebrew Israelites have remained conveniently hidden from anthropological view. Not only do the Hebrew Israelites resist the picturesque archetype of the uncompromising native, they explicit</w:t>
      </w:r>
      <w:r w:rsidR="00E973C2">
        <w:rPr>
          <w:rFonts w:ascii="Times New Roman" w:hAnsi="Times New Roman" w:cs="Times New Roman"/>
          <w:sz w:val="24"/>
          <w:szCs w:val="24"/>
        </w:rPr>
        <w:t>ly</w:t>
      </w:r>
      <w:r w:rsidRPr="00206097">
        <w:rPr>
          <w:rFonts w:ascii="Times New Roman" w:hAnsi="Times New Roman" w:cs="Times New Roman"/>
          <w:sz w:val="24"/>
          <w:szCs w:val="24"/>
        </w:rPr>
        <w:t xml:space="preserve"> dispute the privileged perch of anthropologists as purveyors of truth-claims. In </w:t>
      </w:r>
      <w:r w:rsidRPr="00206097">
        <w:rPr>
          <w:rFonts w:ascii="Times New Roman" w:hAnsi="Times New Roman" w:cs="Times New Roman"/>
          <w:i/>
          <w:sz w:val="24"/>
          <w:szCs w:val="24"/>
        </w:rPr>
        <w:t>Thin Description</w:t>
      </w:r>
      <w:r w:rsidRPr="00206097">
        <w:rPr>
          <w:rFonts w:ascii="Times New Roman" w:hAnsi="Times New Roman" w:cs="Times New Roman"/>
          <w:sz w:val="24"/>
          <w:szCs w:val="24"/>
        </w:rPr>
        <w:t>, it is th</w:t>
      </w:r>
      <w:r w:rsidR="00E973C2">
        <w:rPr>
          <w:rFonts w:ascii="Times New Roman" w:hAnsi="Times New Roman" w:cs="Times New Roman"/>
          <w:sz w:val="24"/>
          <w:szCs w:val="24"/>
        </w:rPr>
        <w:t>e Ivy League anthropologist who is</w:t>
      </w:r>
      <w:r w:rsidRPr="00206097">
        <w:rPr>
          <w:rFonts w:ascii="Times New Roman" w:hAnsi="Times New Roman" w:cs="Times New Roman"/>
          <w:sz w:val="24"/>
          <w:szCs w:val="24"/>
        </w:rPr>
        <w:t xml:space="preserve"> subjected to truth-claims regarding the origins of black peoples in the Americas—who as one strand of Hebrew Israelites protest, hail from Israel, not Africa—and their own divine inheritance.</w:t>
      </w:r>
    </w:p>
    <w:p w:rsidR="004F4019" w:rsidRPr="00206097" w:rsidRDefault="004F4019" w:rsidP="004F4019">
      <w:pPr>
        <w:rPr>
          <w:rFonts w:ascii="Times New Roman" w:hAnsi="Times New Roman" w:cs="Times New Roman"/>
          <w:sz w:val="24"/>
          <w:szCs w:val="24"/>
        </w:rPr>
      </w:pPr>
      <w:r w:rsidRPr="00206097">
        <w:rPr>
          <w:rFonts w:ascii="Times New Roman" w:hAnsi="Times New Roman" w:cs="Times New Roman"/>
          <w:sz w:val="24"/>
          <w:szCs w:val="24"/>
        </w:rPr>
        <w:tab/>
        <w:t xml:space="preserve">While navigating the pages of </w:t>
      </w:r>
      <w:r w:rsidRPr="00206097">
        <w:rPr>
          <w:rFonts w:ascii="Times New Roman" w:hAnsi="Times New Roman" w:cs="Times New Roman"/>
          <w:i/>
          <w:sz w:val="24"/>
          <w:szCs w:val="24"/>
        </w:rPr>
        <w:t>Thin Description</w:t>
      </w:r>
      <w:r w:rsidRPr="00206097">
        <w:rPr>
          <w:rFonts w:ascii="Times New Roman" w:hAnsi="Times New Roman" w:cs="Times New Roman"/>
          <w:sz w:val="24"/>
          <w:szCs w:val="24"/>
        </w:rPr>
        <w:t xml:space="preserve"> and its m</w:t>
      </w:r>
      <w:r w:rsidR="00E973C2">
        <w:rPr>
          <w:rFonts w:ascii="Times New Roman" w:hAnsi="Times New Roman" w:cs="Times New Roman"/>
          <w:sz w:val="24"/>
          <w:szCs w:val="24"/>
        </w:rPr>
        <w:t>eanderings between rich anecdote</w:t>
      </w:r>
      <w:r w:rsidRPr="00206097">
        <w:rPr>
          <w:rFonts w:ascii="Times New Roman" w:hAnsi="Times New Roman" w:cs="Times New Roman"/>
          <w:sz w:val="24"/>
          <w:szCs w:val="24"/>
        </w:rPr>
        <w:t>s of</w:t>
      </w:r>
      <w:r w:rsidR="00E973C2">
        <w:rPr>
          <w:rFonts w:ascii="Times New Roman" w:hAnsi="Times New Roman" w:cs="Times New Roman"/>
          <w:sz w:val="24"/>
          <w:szCs w:val="24"/>
        </w:rPr>
        <w:t xml:space="preserve"> African</w:t>
      </w:r>
      <w:r w:rsidRPr="00206097">
        <w:rPr>
          <w:rFonts w:ascii="Times New Roman" w:hAnsi="Times New Roman" w:cs="Times New Roman"/>
          <w:sz w:val="24"/>
          <w:szCs w:val="24"/>
        </w:rPr>
        <w:t xml:space="preserve"> Hebrew Israelite sociality and measured reflections on ethnographic methods, theory, and representation, one begins to imagine a copy of the book finding its way past the pearly gates and into the hands of a long-deceased structural functionalist, who tosses the book aside in disgust. “But where is the ethnography,” he would beckon, “can’t Jackson simply get to the point?” Yet, this confusion bordering on anger is precisely what I believe Jackson hopes to evoke by approaching the</w:t>
      </w:r>
      <w:r w:rsidR="006027B9">
        <w:rPr>
          <w:rFonts w:ascii="Times New Roman" w:hAnsi="Times New Roman" w:cs="Times New Roman"/>
          <w:sz w:val="24"/>
          <w:szCs w:val="24"/>
        </w:rPr>
        <w:t xml:space="preserve"> African</w:t>
      </w:r>
      <w:r w:rsidRPr="00206097">
        <w:rPr>
          <w:rFonts w:ascii="Times New Roman" w:hAnsi="Times New Roman" w:cs="Times New Roman"/>
          <w:sz w:val="24"/>
          <w:szCs w:val="24"/>
        </w:rPr>
        <w:t xml:space="preserve"> Hebrew Israelites not as an obscure community of </w:t>
      </w:r>
      <w:proofErr w:type="spellStart"/>
      <w:r w:rsidRPr="00206097">
        <w:rPr>
          <w:rFonts w:ascii="Times New Roman" w:hAnsi="Times New Roman" w:cs="Times New Roman"/>
          <w:sz w:val="24"/>
          <w:szCs w:val="24"/>
        </w:rPr>
        <w:t>zealouts</w:t>
      </w:r>
      <w:proofErr w:type="spellEnd"/>
      <w:r w:rsidRPr="00206097">
        <w:rPr>
          <w:rFonts w:ascii="Times New Roman" w:hAnsi="Times New Roman" w:cs="Times New Roman"/>
          <w:sz w:val="24"/>
          <w:szCs w:val="24"/>
        </w:rPr>
        <w:t>, but as a foil for the seemingly irrational investments and rituals deemed sacred under the banner of anthropology.</w:t>
      </w:r>
    </w:p>
    <w:p w:rsidR="004F4019" w:rsidRPr="00206097" w:rsidRDefault="004F4019" w:rsidP="004F4019">
      <w:pPr>
        <w:ind w:firstLine="720"/>
        <w:rPr>
          <w:rFonts w:ascii="Times New Roman" w:hAnsi="Times New Roman" w:cs="Times New Roman"/>
          <w:sz w:val="24"/>
          <w:szCs w:val="24"/>
        </w:rPr>
      </w:pPr>
      <w:r w:rsidRPr="00206097">
        <w:rPr>
          <w:rFonts w:ascii="Times New Roman" w:hAnsi="Times New Roman" w:cs="Times New Roman"/>
          <w:sz w:val="24"/>
          <w:szCs w:val="24"/>
        </w:rPr>
        <w:t xml:space="preserve">Mainstays of anthropological theory such as Clifford Geertz’s </w:t>
      </w:r>
      <w:r w:rsidRPr="00206097">
        <w:rPr>
          <w:rFonts w:ascii="Times New Roman" w:hAnsi="Times New Roman" w:cs="Times New Roman"/>
          <w:i/>
          <w:sz w:val="24"/>
          <w:szCs w:val="24"/>
        </w:rPr>
        <w:t>The Interpretation of Cultures</w:t>
      </w:r>
      <w:r w:rsidRPr="00206097">
        <w:rPr>
          <w:rFonts w:ascii="Times New Roman" w:hAnsi="Times New Roman" w:cs="Times New Roman"/>
          <w:sz w:val="24"/>
          <w:szCs w:val="24"/>
        </w:rPr>
        <w:t xml:space="preserve"> and </w:t>
      </w:r>
      <w:proofErr w:type="spellStart"/>
      <w:r w:rsidRPr="00206097">
        <w:rPr>
          <w:rFonts w:ascii="Times New Roman" w:hAnsi="Times New Roman" w:cs="Times New Roman"/>
          <w:sz w:val="24"/>
          <w:szCs w:val="24"/>
        </w:rPr>
        <w:t>Bronislaw</w:t>
      </w:r>
      <w:proofErr w:type="spellEnd"/>
      <w:r w:rsidRPr="00206097">
        <w:rPr>
          <w:rFonts w:ascii="Times New Roman" w:hAnsi="Times New Roman" w:cs="Times New Roman"/>
          <w:sz w:val="24"/>
          <w:szCs w:val="24"/>
        </w:rPr>
        <w:t xml:space="preserve"> Malinowski’s </w:t>
      </w:r>
      <w:r w:rsidRPr="00206097">
        <w:rPr>
          <w:rFonts w:ascii="Times New Roman" w:hAnsi="Times New Roman" w:cs="Times New Roman"/>
          <w:i/>
          <w:sz w:val="24"/>
          <w:szCs w:val="24"/>
        </w:rPr>
        <w:t>Argonauts of the Western Pacific</w:t>
      </w:r>
      <w:r w:rsidRPr="00206097">
        <w:rPr>
          <w:rFonts w:ascii="Times New Roman" w:hAnsi="Times New Roman" w:cs="Times New Roman"/>
          <w:sz w:val="24"/>
          <w:szCs w:val="24"/>
        </w:rPr>
        <w:t xml:space="preserve"> are the obvious companions to </w:t>
      </w:r>
      <w:r w:rsidRPr="00206097">
        <w:rPr>
          <w:rFonts w:ascii="Times New Roman" w:hAnsi="Times New Roman" w:cs="Times New Roman"/>
          <w:i/>
          <w:sz w:val="24"/>
          <w:szCs w:val="24"/>
        </w:rPr>
        <w:t>Thin Description</w:t>
      </w:r>
      <w:r w:rsidR="006027B9">
        <w:rPr>
          <w:rFonts w:ascii="Times New Roman" w:hAnsi="Times New Roman" w:cs="Times New Roman"/>
          <w:sz w:val="24"/>
          <w:szCs w:val="24"/>
        </w:rPr>
        <w:t>, which thrives in its</w:t>
      </w:r>
      <w:r w:rsidRPr="00206097">
        <w:rPr>
          <w:rFonts w:ascii="Times New Roman" w:hAnsi="Times New Roman" w:cs="Times New Roman"/>
          <w:sz w:val="24"/>
          <w:szCs w:val="24"/>
        </w:rPr>
        <w:t xml:space="preserve"> meta-critique of the ethnographic imagination. Hailed for their iconic statements on ethnographic methods, Geertz and Malinowski </w:t>
      </w:r>
      <w:r w:rsidRPr="00206097">
        <w:rPr>
          <w:rFonts w:ascii="Times New Roman" w:hAnsi="Times New Roman" w:cs="Times New Roman"/>
          <w:sz w:val="24"/>
          <w:szCs w:val="24"/>
        </w:rPr>
        <w:lastRenderedPageBreak/>
        <w:t xml:space="preserve">are not crudely dismissed </w:t>
      </w:r>
      <w:r w:rsidR="006027B9">
        <w:rPr>
          <w:rFonts w:ascii="Times New Roman" w:hAnsi="Times New Roman" w:cs="Times New Roman"/>
          <w:sz w:val="24"/>
          <w:szCs w:val="24"/>
        </w:rPr>
        <w:t xml:space="preserve">here </w:t>
      </w:r>
      <w:r w:rsidRPr="00206097">
        <w:rPr>
          <w:rFonts w:ascii="Times New Roman" w:hAnsi="Times New Roman" w:cs="Times New Roman"/>
          <w:sz w:val="24"/>
          <w:szCs w:val="24"/>
        </w:rPr>
        <w:t>as peddlers of outmoded approaches. For instance, Malinowski’s emphasis on participant-observation—that the ethnographer descend from his privileged perch to “live…right among the natives” (</w:t>
      </w:r>
      <w:r>
        <w:rPr>
          <w:rFonts w:ascii="Times New Roman" w:hAnsi="Times New Roman" w:cs="Times New Roman"/>
          <w:sz w:val="24"/>
          <w:szCs w:val="24"/>
        </w:rPr>
        <w:t>Malinowski 1961</w:t>
      </w:r>
      <w:r w:rsidRPr="00206097">
        <w:rPr>
          <w:rFonts w:ascii="Times New Roman" w:hAnsi="Times New Roman" w:cs="Times New Roman"/>
          <w:sz w:val="24"/>
          <w:szCs w:val="24"/>
        </w:rPr>
        <w:t xml:space="preserve">[1922]:6)—remains the central feature of Jackson’s methodological toolkit. And, the provocative title notwithstanding, Geertz’s trademark interpretive mechanism of thick description is not discarded (see Geertz 1973). Much of what is found in the pages of </w:t>
      </w:r>
      <w:r w:rsidRPr="00206097">
        <w:rPr>
          <w:rFonts w:ascii="Times New Roman" w:hAnsi="Times New Roman" w:cs="Times New Roman"/>
          <w:i/>
          <w:sz w:val="24"/>
          <w:szCs w:val="24"/>
        </w:rPr>
        <w:t>Thin Description</w:t>
      </w:r>
      <w:r w:rsidRPr="00206097">
        <w:rPr>
          <w:rFonts w:ascii="Times New Roman" w:hAnsi="Times New Roman" w:cs="Times New Roman"/>
          <w:sz w:val="24"/>
          <w:szCs w:val="24"/>
        </w:rPr>
        <w:t xml:space="preserve"> would qualify as “thick,” even in the eyes of the most conservative anthropological critics. What separates Jackson from Geertz is his constant yet productive skepticism of his own interpretive faculties.</w:t>
      </w:r>
    </w:p>
    <w:p w:rsidR="004F4019" w:rsidRPr="00206097" w:rsidRDefault="004F4019" w:rsidP="004F4019">
      <w:pPr>
        <w:rPr>
          <w:rFonts w:ascii="Times New Roman" w:hAnsi="Times New Roman" w:cs="Times New Roman"/>
          <w:sz w:val="24"/>
          <w:szCs w:val="24"/>
        </w:rPr>
      </w:pPr>
      <w:r w:rsidRPr="00206097">
        <w:rPr>
          <w:rFonts w:ascii="Times New Roman" w:hAnsi="Times New Roman" w:cs="Times New Roman"/>
          <w:sz w:val="24"/>
          <w:szCs w:val="24"/>
        </w:rPr>
        <w:tab/>
        <w:t xml:space="preserve">Those familiar with his wider oeuvre will recognize this skepticism from the chronicle of crippling fieldwork anxiety that prefaces </w:t>
      </w:r>
      <w:proofErr w:type="spellStart"/>
      <w:r w:rsidRPr="00206097">
        <w:rPr>
          <w:rFonts w:ascii="Times New Roman" w:hAnsi="Times New Roman" w:cs="Times New Roman"/>
          <w:i/>
          <w:sz w:val="24"/>
          <w:szCs w:val="24"/>
        </w:rPr>
        <w:t>Harlemworld</w:t>
      </w:r>
      <w:proofErr w:type="spellEnd"/>
      <w:r w:rsidRPr="00206097">
        <w:rPr>
          <w:rFonts w:ascii="Times New Roman" w:hAnsi="Times New Roman" w:cs="Times New Roman"/>
          <w:sz w:val="24"/>
          <w:szCs w:val="24"/>
        </w:rPr>
        <w:t xml:space="preserve"> and his tortured efforts to make ethnographic sense of spirit possession in </w:t>
      </w:r>
      <w:r w:rsidRPr="00206097">
        <w:rPr>
          <w:rFonts w:ascii="Times New Roman" w:hAnsi="Times New Roman" w:cs="Times New Roman"/>
          <w:i/>
          <w:sz w:val="24"/>
          <w:szCs w:val="24"/>
        </w:rPr>
        <w:t>Real Black</w:t>
      </w:r>
      <w:r w:rsidRPr="00206097">
        <w:rPr>
          <w:rFonts w:ascii="Times New Roman" w:hAnsi="Times New Roman" w:cs="Times New Roman"/>
          <w:sz w:val="24"/>
          <w:szCs w:val="24"/>
        </w:rPr>
        <w:t xml:space="preserve">. One might say, then, that Jackson has made a career of selling trade secrets of the anthropological fraternity, namely that we have never been the privileged and seamless codebreakers that we describe ourselves as—or believe ourselves to be. Thick description, though admirable as a methodological ideal, is revealed as a closely-held belief mired in the very magic and witchcraft that anthropologists such as Malinowski and E.E. Evans-Pritchard ascribed to the Trobriand Islanders and the </w:t>
      </w:r>
      <w:proofErr w:type="spellStart"/>
      <w:r w:rsidRPr="00206097">
        <w:rPr>
          <w:rFonts w:ascii="Times New Roman" w:hAnsi="Times New Roman" w:cs="Times New Roman"/>
          <w:sz w:val="24"/>
          <w:szCs w:val="24"/>
        </w:rPr>
        <w:t>Azande</w:t>
      </w:r>
      <w:proofErr w:type="spellEnd"/>
      <w:r w:rsidRPr="00206097">
        <w:rPr>
          <w:rFonts w:ascii="Times New Roman" w:hAnsi="Times New Roman" w:cs="Times New Roman"/>
          <w:sz w:val="24"/>
          <w:szCs w:val="24"/>
        </w:rPr>
        <w:t xml:space="preserve"> (see Evans-Pritchard </w:t>
      </w:r>
      <w:r>
        <w:rPr>
          <w:rFonts w:ascii="Times New Roman" w:hAnsi="Times New Roman" w:cs="Times New Roman"/>
          <w:sz w:val="24"/>
          <w:szCs w:val="24"/>
        </w:rPr>
        <w:t>1976[</w:t>
      </w:r>
      <w:r w:rsidRPr="00206097">
        <w:rPr>
          <w:rFonts w:ascii="Times New Roman" w:hAnsi="Times New Roman" w:cs="Times New Roman"/>
          <w:sz w:val="24"/>
          <w:szCs w:val="24"/>
        </w:rPr>
        <w:t>1937</w:t>
      </w:r>
      <w:r>
        <w:rPr>
          <w:rFonts w:ascii="Times New Roman" w:hAnsi="Times New Roman" w:cs="Times New Roman"/>
          <w:sz w:val="24"/>
          <w:szCs w:val="24"/>
        </w:rPr>
        <w:t>]</w:t>
      </w:r>
      <w:r w:rsidRPr="00206097">
        <w:rPr>
          <w:rFonts w:ascii="Times New Roman" w:hAnsi="Times New Roman" w:cs="Times New Roman"/>
          <w:sz w:val="24"/>
          <w:szCs w:val="24"/>
        </w:rPr>
        <w:t xml:space="preserve">; Malinowski </w:t>
      </w:r>
      <w:r>
        <w:rPr>
          <w:rFonts w:ascii="Times New Roman" w:hAnsi="Times New Roman" w:cs="Times New Roman"/>
          <w:sz w:val="24"/>
          <w:szCs w:val="24"/>
        </w:rPr>
        <w:t>1978[</w:t>
      </w:r>
      <w:r w:rsidRPr="00206097">
        <w:rPr>
          <w:rFonts w:ascii="Times New Roman" w:hAnsi="Times New Roman" w:cs="Times New Roman"/>
          <w:sz w:val="24"/>
          <w:szCs w:val="24"/>
        </w:rPr>
        <w:t>1935</w:t>
      </w:r>
      <w:r>
        <w:rPr>
          <w:rFonts w:ascii="Times New Roman" w:hAnsi="Times New Roman" w:cs="Times New Roman"/>
          <w:sz w:val="24"/>
          <w:szCs w:val="24"/>
        </w:rPr>
        <w:t>]</w:t>
      </w:r>
      <w:r w:rsidRPr="00206097">
        <w:rPr>
          <w:rFonts w:ascii="Times New Roman" w:hAnsi="Times New Roman" w:cs="Times New Roman"/>
          <w:sz w:val="24"/>
          <w:szCs w:val="24"/>
        </w:rPr>
        <w:t xml:space="preserve">). As Jackson observes, “These aspirations and characterizations signal some of the hubris at the center of the anthropological project, a hubris that has probably always imagined ethnographic thickness to be far thicker than it actually is” (2013:14). To deduce the difference between an involuntary twitch and a wink, as Geertz asserts thick description enables, is to act as a sorcerer, conjuring meaning from a murky void of uncertainty. </w:t>
      </w:r>
    </w:p>
    <w:p w:rsidR="004F4019" w:rsidRPr="00206097" w:rsidRDefault="004F4019" w:rsidP="004F4019">
      <w:pPr>
        <w:rPr>
          <w:rFonts w:ascii="Times New Roman" w:hAnsi="Times New Roman" w:cs="Times New Roman"/>
          <w:sz w:val="24"/>
          <w:szCs w:val="24"/>
        </w:rPr>
      </w:pPr>
      <w:r w:rsidRPr="00206097">
        <w:rPr>
          <w:rFonts w:ascii="Times New Roman" w:hAnsi="Times New Roman" w:cs="Times New Roman"/>
          <w:sz w:val="24"/>
          <w:szCs w:val="24"/>
        </w:rPr>
        <w:tab/>
        <w:t xml:space="preserve">Anthropologists, as steadfast defenders of science and reason, and African Hebrew Israelites, as eccentric proselytizers, thus emerge in the pages of </w:t>
      </w:r>
      <w:r w:rsidRPr="00206097">
        <w:rPr>
          <w:rFonts w:ascii="Times New Roman" w:hAnsi="Times New Roman" w:cs="Times New Roman"/>
          <w:i/>
          <w:sz w:val="24"/>
          <w:szCs w:val="24"/>
        </w:rPr>
        <w:t xml:space="preserve">Thin Description </w:t>
      </w:r>
      <w:r w:rsidRPr="00206097">
        <w:rPr>
          <w:rFonts w:ascii="Times New Roman" w:hAnsi="Times New Roman" w:cs="Times New Roman"/>
          <w:sz w:val="24"/>
          <w:szCs w:val="24"/>
        </w:rPr>
        <w:t>as unlikely, but merited companions. Take the following passage:</w:t>
      </w:r>
    </w:p>
    <w:p w:rsidR="004F4019" w:rsidRPr="00206097" w:rsidRDefault="004F4019" w:rsidP="004F4019">
      <w:pPr>
        <w:rPr>
          <w:rFonts w:ascii="Times New Roman" w:hAnsi="Times New Roman" w:cs="Times New Roman"/>
          <w:sz w:val="20"/>
          <w:szCs w:val="20"/>
        </w:rPr>
      </w:pPr>
      <w:r w:rsidRPr="00206097">
        <w:rPr>
          <w:rFonts w:ascii="Times New Roman" w:hAnsi="Times New Roman" w:cs="Times New Roman"/>
          <w:sz w:val="20"/>
          <w:szCs w:val="20"/>
        </w:rPr>
        <w:t>The AHIJ constantly affirm their “power to define,” a commitment to renaming objects and ideas in direct opposition to standard definitions. This “power to define” is central to their entire global agenda and spiritual mission. They aim to redefine what it means to be African, what it means to be Jewish, and even what it means to be human. Attempting to rewrite the very science of human life, the basic parameters of our existence, requires that everything we say, think, and do (no matter how casual and seemingly unremarkable) becomes fodder for purposeful reconceptualization, for daily deconstruction, starting with language itself— each ­ word reconsidered, every phrase carefully parsed. (Jackson 2013:6)</w:t>
      </w:r>
    </w:p>
    <w:p w:rsidR="004F4019" w:rsidRPr="00206097" w:rsidRDefault="004F4019" w:rsidP="004F4019">
      <w:pPr>
        <w:rPr>
          <w:rFonts w:ascii="Times New Roman" w:hAnsi="Times New Roman" w:cs="Times New Roman"/>
          <w:sz w:val="24"/>
          <w:szCs w:val="24"/>
        </w:rPr>
      </w:pPr>
      <w:r w:rsidRPr="00206097">
        <w:rPr>
          <w:rFonts w:ascii="Times New Roman" w:hAnsi="Times New Roman" w:cs="Times New Roman"/>
          <w:sz w:val="24"/>
          <w:szCs w:val="24"/>
        </w:rPr>
        <w:t xml:space="preserve"> The point, of course, is that the passage cited could as easily be attributed to the eccentric cult of anthropology as the African Hebrew Israelites. A similar critique</w:t>
      </w:r>
      <w:r w:rsidR="006027B9">
        <w:rPr>
          <w:rFonts w:ascii="Times New Roman" w:hAnsi="Times New Roman" w:cs="Times New Roman"/>
          <w:sz w:val="24"/>
          <w:szCs w:val="24"/>
        </w:rPr>
        <w:t xml:space="preserve"> was recently</w:t>
      </w:r>
      <w:r w:rsidRPr="00206097">
        <w:rPr>
          <w:rFonts w:ascii="Times New Roman" w:hAnsi="Times New Roman" w:cs="Times New Roman"/>
          <w:sz w:val="24"/>
          <w:szCs w:val="24"/>
        </w:rPr>
        <w:t xml:space="preserve"> launched by the “ontological turn” in anthropological theory, which holds that anthropology has misguidedly sought to translate indigenous cosmologies into legible and compartmentalized terms of reference. For proponents of the ontological turn, anthropology must shirk this imperative of translation, accepting instead that its “constitutive role…is not that of </w:t>
      </w:r>
      <w:r w:rsidRPr="00206097">
        <w:rPr>
          <w:rFonts w:ascii="Times New Roman" w:hAnsi="Times New Roman" w:cs="Times New Roman"/>
          <w:i/>
          <w:sz w:val="24"/>
          <w:szCs w:val="24"/>
        </w:rPr>
        <w:t>explaining the world of the other</w:t>
      </w:r>
      <w:r w:rsidRPr="00206097">
        <w:rPr>
          <w:rFonts w:ascii="Times New Roman" w:hAnsi="Times New Roman" w:cs="Times New Roman"/>
          <w:sz w:val="24"/>
          <w:szCs w:val="24"/>
        </w:rPr>
        <w:t xml:space="preserve">, but rather of </w:t>
      </w:r>
      <w:r w:rsidRPr="00206097">
        <w:rPr>
          <w:rFonts w:ascii="Times New Roman" w:hAnsi="Times New Roman" w:cs="Times New Roman"/>
          <w:i/>
          <w:sz w:val="24"/>
          <w:szCs w:val="24"/>
        </w:rPr>
        <w:t>multiplying our world</w:t>
      </w:r>
      <w:r w:rsidRPr="00206097">
        <w:rPr>
          <w:rFonts w:ascii="Times New Roman" w:hAnsi="Times New Roman" w:cs="Times New Roman"/>
          <w:sz w:val="24"/>
          <w:szCs w:val="24"/>
        </w:rPr>
        <w:t xml:space="preserve">” (de Castro 2013:492). In its growing bibliography, though, the world of the anthropologist and his explanatory mechanism remains uncomplicated. By simply acknowledging the proliferation of other worlds and their disparate cosmologies, the </w:t>
      </w:r>
      <w:r w:rsidRPr="00206097">
        <w:rPr>
          <w:rFonts w:ascii="Times New Roman" w:hAnsi="Times New Roman" w:cs="Times New Roman"/>
          <w:sz w:val="24"/>
          <w:szCs w:val="24"/>
        </w:rPr>
        <w:lastRenderedPageBreak/>
        <w:t xml:space="preserve">primacy of scientific rationality (or as Bruno </w:t>
      </w:r>
      <w:proofErr w:type="spellStart"/>
      <w:r w:rsidRPr="00206097">
        <w:rPr>
          <w:rFonts w:ascii="Times New Roman" w:hAnsi="Times New Roman" w:cs="Times New Roman"/>
          <w:sz w:val="24"/>
          <w:szCs w:val="24"/>
        </w:rPr>
        <w:t>Latour</w:t>
      </w:r>
      <w:proofErr w:type="spellEnd"/>
      <w:r w:rsidRPr="00206097">
        <w:rPr>
          <w:rFonts w:ascii="Times New Roman" w:hAnsi="Times New Roman" w:cs="Times New Roman"/>
          <w:sz w:val="24"/>
          <w:szCs w:val="24"/>
        </w:rPr>
        <w:t xml:space="preserve"> has it, the “modern cult of the </w:t>
      </w:r>
      <w:proofErr w:type="spellStart"/>
      <w:r w:rsidRPr="00206097">
        <w:rPr>
          <w:rFonts w:ascii="Times New Roman" w:hAnsi="Times New Roman" w:cs="Times New Roman"/>
          <w:sz w:val="24"/>
          <w:szCs w:val="24"/>
        </w:rPr>
        <w:t>factish</w:t>
      </w:r>
      <w:proofErr w:type="spellEnd"/>
      <w:r w:rsidRPr="00206097">
        <w:rPr>
          <w:rFonts w:ascii="Times New Roman" w:hAnsi="Times New Roman" w:cs="Times New Roman"/>
          <w:sz w:val="24"/>
          <w:szCs w:val="24"/>
        </w:rPr>
        <w:t xml:space="preserve"> gods</w:t>
      </w:r>
      <w:r>
        <w:rPr>
          <w:rFonts w:ascii="Times New Roman" w:hAnsi="Times New Roman" w:cs="Times New Roman"/>
          <w:sz w:val="24"/>
          <w:szCs w:val="24"/>
        </w:rPr>
        <w:t>” (2010</w:t>
      </w:r>
      <w:r w:rsidRPr="00206097">
        <w:rPr>
          <w:rFonts w:ascii="Times New Roman" w:hAnsi="Times New Roman" w:cs="Times New Roman"/>
          <w:sz w:val="24"/>
          <w:szCs w:val="24"/>
        </w:rPr>
        <w:t>))</w:t>
      </w:r>
      <w:r w:rsidR="006027B9">
        <w:rPr>
          <w:rFonts w:ascii="Times New Roman" w:hAnsi="Times New Roman" w:cs="Times New Roman"/>
          <w:sz w:val="24"/>
          <w:szCs w:val="24"/>
        </w:rPr>
        <w:t>, they argue,</w:t>
      </w:r>
      <w:r w:rsidRPr="00206097">
        <w:rPr>
          <w:rFonts w:ascii="Times New Roman" w:hAnsi="Times New Roman" w:cs="Times New Roman"/>
          <w:sz w:val="24"/>
          <w:szCs w:val="24"/>
        </w:rPr>
        <w:t xml:space="preserve"> will be </w:t>
      </w:r>
      <w:r>
        <w:rPr>
          <w:rFonts w:ascii="Times New Roman" w:hAnsi="Times New Roman" w:cs="Times New Roman"/>
          <w:sz w:val="24"/>
          <w:szCs w:val="24"/>
        </w:rPr>
        <w:t>productively decentered</w:t>
      </w:r>
      <w:r w:rsidRPr="00206097">
        <w:rPr>
          <w:rFonts w:ascii="Times New Roman" w:hAnsi="Times New Roman" w:cs="Times New Roman"/>
          <w:sz w:val="24"/>
          <w:szCs w:val="24"/>
        </w:rPr>
        <w:t>.</w:t>
      </w:r>
    </w:p>
    <w:p w:rsidR="008F668F" w:rsidRDefault="004F4019">
      <w:pPr>
        <w:rPr>
          <w:rFonts w:ascii="Times New Roman" w:hAnsi="Times New Roman" w:cs="Times New Roman"/>
          <w:sz w:val="24"/>
          <w:szCs w:val="24"/>
        </w:rPr>
      </w:pPr>
      <w:r w:rsidRPr="00206097">
        <w:rPr>
          <w:rFonts w:ascii="Times New Roman" w:hAnsi="Times New Roman" w:cs="Times New Roman"/>
          <w:sz w:val="24"/>
          <w:szCs w:val="24"/>
        </w:rPr>
        <w:tab/>
        <w:t>Jackson provides an alternative, and in my estimation,</w:t>
      </w:r>
      <w:r>
        <w:rPr>
          <w:rFonts w:ascii="Times New Roman" w:hAnsi="Times New Roman" w:cs="Times New Roman"/>
          <w:sz w:val="24"/>
          <w:szCs w:val="24"/>
        </w:rPr>
        <w:t xml:space="preserve"> a more ambitious</w:t>
      </w:r>
      <w:r w:rsidRPr="00206097">
        <w:rPr>
          <w:rFonts w:ascii="Times New Roman" w:hAnsi="Times New Roman" w:cs="Times New Roman"/>
          <w:sz w:val="24"/>
          <w:szCs w:val="24"/>
        </w:rPr>
        <w:t xml:space="preserve"> proposal.</w:t>
      </w:r>
      <w:r>
        <w:rPr>
          <w:rFonts w:ascii="Times New Roman" w:hAnsi="Times New Roman" w:cs="Times New Roman"/>
          <w:sz w:val="24"/>
          <w:szCs w:val="24"/>
        </w:rPr>
        <w:t xml:space="preserve"> What if, rather than asserting the existence of multiple coexisting ontologies, the continued investment in ontology itself was abandoned? As Frantz Fanon reminds us, “Ontology does not allow us to understand the being of the black man…For not only must the black man be black; he must be black in relation to the white man” (2008:90). Rather than seeking to rescue the ontological status of the colonized, Fanon seeks a new grammar from which novel modes of human existence can</w:t>
      </w:r>
      <w:r w:rsidRPr="00206097">
        <w:rPr>
          <w:rFonts w:ascii="Times New Roman" w:hAnsi="Times New Roman" w:cs="Times New Roman"/>
          <w:sz w:val="24"/>
          <w:szCs w:val="24"/>
        </w:rPr>
        <w:t xml:space="preserve"> </w:t>
      </w:r>
      <w:r>
        <w:rPr>
          <w:rFonts w:ascii="Times New Roman" w:hAnsi="Times New Roman" w:cs="Times New Roman"/>
          <w:sz w:val="24"/>
          <w:szCs w:val="24"/>
        </w:rPr>
        <w:t xml:space="preserve">be derived. While it proves difficult to fully decipher this grammar even in a close reading of Fanon, Jackson’s framework of sincerity—which first appears in </w:t>
      </w:r>
      <w:r>
        <w:rPr>
          <w:rFonts w:ascii="Times New Roman" w:hAnsi="Times New Roman" w:cs="Times New Roman"/>
          <w:i/>
          <w:sz w:val="24"/>
          <w:szCs w:val="24"/>
        </w:rPr>
        <w:t>Real Black</w:t>
      </w:r>
      <w:r>
        <w:rPr>
          <w:rFonts w:ascii="Times New Roman" w:hAnsi="Times New Roman" w:cs="Times New Roman"/>
          <w:sz w:val="24"/>
          <w:szCs w:val="24"/>
        </w:rPr>
        <w:t>—can be understood as an admirable effort to rise occasion that Fanon prescribes. Ethnographic sincerity, like racial sincerity before it, is modest enough in its proposal. Quite simply, it demands a healthy dose of reality. To practice sincerity, which “recognizes the irredeemable misrecognitions that constitute and confound all social interactions, even those cultivated by ethnographers in the field” (Jackson 2013:211), is to truly embrace the mantra that “everything is ethnography” (Ibid</w:t>
      </w:r>
      <w:proofErr w:type="gramStart"/>
      <w:r>
        <w:rPr>
          <w:rFonts w:ascii="Times New Roman" w:hAnsi="Times New Roman" w:cs="Times New Roman"/>
          <w:sz w:val="24"/>
          <w:szCs w:val="24"/>
        </w:rPr>
        <w:t>:53</w:t>
      </w:r>
      <w:proofErr w:type="gramEnd"/>
      <w:r>
        <w:rPr>
          <w:rFonts w:ascii="Times New Roman" w:hAnsi="Times New Roman" w:cs="Times New Roman"/>
          <w:sz w:val="24"/>
          <w:szCs w:val="24"/>
        </w:rPr>
        <w:t xml:space="preserve">). It is to be less guarded in revealing the inner demons and insecurities that haunt our prose, to indulge moments that defy the logics and expectations of our academic training, and to leave some loose ends untied. It is in its </w:t>
      </w:r>
      <w:bookmarkStart w:id="0" w:name="_GoBack"/>
      <w:bookmarkEnd w:id="0"/>
      <w:r>
        <w:rPr>
          <w:rFonts w:ascii="Times New Roman" w:hAnsi="Times New Roman" w:cs="Times New Roman"/>
          <w:sz w:val="24"/>
          <w:szCs w:val="24"/>
        </w:rPr>
        <w:t>own failings that the radical potential of et</w:t>
      </w:r>
      <w:r w:rsidR="008E4816">
        <w:rPr>
          <w:rFonts w:ascii="Times New Roman" w:hAnsi="Times New Roman" w:cs="Times New Roman"/>
          <w:sz w:val="24"/>
          <w:szCs w:val="24"/>
        </w:rPr>
        <w:t>hnography waits to be unlocked.</w:t>
      </w:r>
    </w:p>
    <w:p w:rsidR="00281CDC" w:rsidRDefault="00281CDC">
      <w:pPr>
        <w:rPr>
          <w:rFonts w:ascii="Times New Roman" w:hAnsi="Times New Roman" w:cs="Times New Roman"/>
          <w:sz w:val="24"/>
          <w:szCs w:val="24"/>
        </w:rPr>
      </w:pPr>
    </w:p>
    <w:p w:rsidR="008E4816" w:rsidRDefault="008E4816">
      <w:pPr>
        <w:rPr>
          <w:rFonts w:ascii="Times New Roman" w:hAnsi="Times New Roman" w:cs="Times New Roman"/>
          <w:b/>
          <w:sz w:val="24"/>
          <w:szCs w:val="24"/>
        </w:rPr>
      </w:pPr>
      <w:r w:rsidRPr="008E4816">
        <w:rPr>
          <w:rFonts w:ascii="Times New Roman" w:hAnsi="Times New Roman" w:cs="Times New Roman"/>
          <w:b/>
          <w:sz w:val="24"/>
          <w:szCs w:val="24"/>
        </w:rPr>
        <w:t>REFERENCES</w:t>
      </w:r>
    </w:p>
    <w:p w:rsidR="008E4816" w:rsidRPr="000A4C87" w:rsidRDefault="008E4816" w:rsidP="008E4816">
      <w:pPr>
        <w:ind w:left="630" w:hanging="630"/>
        <w:rPr>
          <w:rFonts w:ascii="Times" w:eastAsia="Times New Roman" w:hAnsi="Times" w:cs="Times New Roman"/>
          <w:sz w:val="20"/>
          <w:szCs w:val="20"/>
        </w:rPr>
      </w:pPr>
      <w:r w:rsidRPr="000A4C87">
        <w:rPr>
          <w:rFonts w:ascii="Times" w:eastAsia="Times New Roman" w:hAnsi="Times" w:cs="Times New Roman"/>
          <w:sz w:val="20"/>
          <w:szCs w:val="20"/>
        </w:rPr>
        <w:t xml:space="preserve">De Castro, Eduardo </w:t>
      </w:r>
      <w:proofErr w:type="spellStart"/>
      <w:r w:rsidRPr="000A4C87">
        <w:rPr>
          <w:rFonts w:ascii="Times" w:eastAsia="Times New Roman" w:hAnsi="Times" w:cs="Times New Roman"/>
          <w:sz w:val="20"/>
          <w:szCs w:val="20"/>
        </w:rPr>
        <w:t>Viveiros</w:t>
      </w:r>
      <w:proofErr w:type="spellEnd"/>
    </w:p>
    <w:p w:rsidR="008E4816" w:rsidRPr="000A4C87" w:rsidRDefault="008E4816" w:rsidP="008E4816">
      <w:pPr>
        <w:ind w:left="630" w:hanging="630"/>
        <w:rPr>
          <w:rFonts w:ascii="Times" w:eastAsia="Times New Roman" w:hAnsi="Times" w:cs="Times New Roman"/>
          <w:sz w:val="20"/>
          <w:szCs w:val="20"/>
        </w:rPr>
      </w:pPr>
      <w:r w:rsidRPr="000A4C87">
        <w:rPr>
          <w:rFonts w:ascii="Times" w:eastAsia="Times New Roman" w:hAnsi="Times" w:cs="Times New Roman"/>
          <w:sz w:val="20"/>
          <w:szCs w:val="20"/>
        </w:rPr>
        <w:t>2013</w:t>
      </w:r>
      <w:r>
        <w:rPr>
          <w:rFonts w:ascii="Times" w:eastAsia="Times New Roman" w:hAnsi="Times" w:cs="Times New Roman"/>
          <w:sz w:val="20"/>
          <w:szCs w:val="20"/>
        </w:rPr>
        <w:t xml:space="preserve">     </w:t>
      </w:r>
      <w:r w:rsidRPr="000A4C87">
        <w:rPr>
          <w:rFonts w:ascii="Times" w:eastAsia="Times New Roman" w:hAnsi="Times" w:cs="Times New Roman"/>
          <w:sz w:val="20"/>
          <w:szCs w:val="20"/>
        </w:rPr>
        <w:t xml:space="preserve">The Relative Native. Julia </w:t>
      </w:r>
      <w:proofErr w:type="spellStart"/>
      <w:r w:rsidRPr="000A4C87">
        <w:rPr>
          <w:rFonts w:ascii="Times" w:eastAsia="Times New Roman" w:hAnsi="Times" w:cs="Times New Roman"/>
          <w:sz w:val="20"/>
          <w:szCs w:val="20"/>
        </w:rPr>
        <w:t>Sauma</w:t>
      </w:r>
      <w:proofErr w:type="spellEnd"/>
      <w:r w:rsidRPr="000A4C87">
        <w:rPr>
          <w:rFonts w:ascii="Times" w:eastAsia="Times New Roman" w:hAnsi="Times" w:cs="Times New Roman"/>
          <w:sz w:val="20"/>
          <w:szCs w:val="20"/>
        </w:rPr>
        <w:t xml:space="preserve"> and Martin </w:t>
      </w:r>
      <w:proofErr w:type="spellStart"/>
      <w:r w:rsidRPr="000A4C87">
        <w:rPr>
          <w:rFonts w:ascii="Times" w:eastAsia="Times New Roman" w:hAnsi="Times" w:cs="Times New Roman"/>
          <w:sz w:val="20"/>
          <w:szCs w:val="20"/>
        </w:rPr>
        <w:t>Holbraad</w:t>
      </w:r>
      <w:proofErr w:type="spellEnd"/>
      <w:r w:rsidRPr="000A4C87">
        <w:rPr>
          <w:rFonts w:ascii="Times" w:eastAsia="Times New Roman" w:hAnsi="Times" w:cs="Times New Roman"/>
          <w:sz w:val="20"/>
          <w:szCs w:val="20"/>
        </w:rPr>
        <w:t>, trans. HAU: Journal of Ethnographic Theory 3(3): 469–502.</w:t>
      </w:r>
    </w:p>
    <w:p w:rsidR="008E4816" w:rsidRPr="000A4C87" w:rsidRDefault="008E4816" w:rsidP="008E4816">
      <w:pPr>
        <w:ind w:left="630" w:hanging="630"/>
        <w:rPr>
          <w:rFonts w:ascii="Times" w:eastAsia="Times New Roman" w:hAnsi="Times" w:cs="Times New Roman"/>
          <w:sz w:val="20"/>
          <w:szCs w:val="20"/>
        </w:rPr>
      </w:pPr>
      <w:r w:rsidRPr="000A4C87">
        <w:rPr>
          <w:rFonts w:ascii="Times" w:eastAsia="Times New Roman" w:hAnsi="Times" w:cs="Times New Roman"/>
          <w:sz w:val="20"/>
          <w:szCs w:val="20"/>
        </w:rPr>
        <w:t xml:space="preserve">Evans-Pritchard, E. E., and Eva </w:t>
      </w:r>
      <w:proofErr w:type="spellStart"/>
      <w:r w:rsidRPr="000A4C87">
        <w:rPr>
          <w:rFonts w:ascii="Times" w:eastAsia="Times New Roman" w:hAnsi="Times" w:cs="Times New Roman"/>
          <w:sz w:val="20"/>
          <w:szCs w:val="20"/>
        </w:rPr>
        <w:t>Gillies</w:t>
      </w:r>
      <w:proofErr w:type="spellEnd"/>
    </w:p>
    <w:p w:rsidR="008E4816" w:rsidRPr="000A4C87" w:rsidRDefault="008E4816" w:rsidP="008E4816">
      <w:pPr>
        <w:ind w:left="630" w:hanging="630"/>
        <w:rPr>
          <w:rFonts w:ascii="Times" w:eastAsia="Times New Roman" w:hAnsi="Times" w:cs="Times New Roman"/>
          <w:sz w:val="20"/>
          <w:szCs w:val="20"/>
        </w:rPr>
      </w:pPr>
      <w:r w:rsidRPr="000A4C87">
        <w:rPr>
          <w:rFonts w:ascii="Times" w:eastAsia="Times New Roman" w:hAnsi="Times" w:cs="Times New Roman"/>
          <w:sz w:val="20"/>
          <w:szCs w:val="20"/>
        </w:rPr>
        <w:t>1976</w:t>
      </w:r>
      <w:r>
        <w:rPr>
          <w:rFonts w:ascii="Times" w:eastAsia="Times New Roman" w:hAnsi="Times" w:cs="Times New Roman"/>
          <w:sz w:val="20"/>
          <w:szCs w:val="20"/>
        </w:rPr>
        <w:t xml:space="preserve">     </w:t>
      </w:r>
      <w:r w:rsidRPr="000A4C87">
        <w:rPr>
          <w:rFonts w:ascii="Times" w:eastAsia="Times New Roman" w:hAnsi="Times" w:cs="Times New Roman"/>
          <w:sz w:val="20"/>
          <w:szCs w:val="20"/>
        </w:rPr>
        <w:t xml:space="preserve">Witchcraft, Oracles and Magic among the </w:t>
      </w:r>
      <w:proofErr w:type="spellStart"/>
      <w:r w:rsidRPr="000A4C87">
        <w:rPr>
          <w:rFonts w:ascii="Times" w:eastAsia="Times New Roman" w:hAnsi="Times" w:cs="Times New Roman"/>
          <w:sz w:val="20"/>
          <w:szCs w:val="20"/>
        </w:rPr>
        <w:t>Azande</w:t>
      </w:r>
      <w:proofErr w:type="spellEnd"/>
      <w:r w:rsidRPr="000A4C87">
        <w:rPr>
          <w:rFonts w:ascii="Times" w:eastAsia="Times New Roman" w:hAnsi="Times" w:cs="Times New Roman"/>
          <w:sz w:val="20"/>
          <w:szCs w:val="20"/>
        </w:rPr>
        <w:t>. Abridged edition. Oxford: Oxford University Press.</w:t>
      </w:r>
    </w:p>
    <w:p w:rsidR="008E4816" w:rsidRPr="000A4C87" w:rsidRDefault="008E4816" w:rsidP="008E4816">
      <w:pPr>
        <w:ind w:left="630" w:hanging="630"/>
        <w:rPr>
          <w:rFonts w:ascii="Times" w:eastAsia="Times New Roman" w:hAnsi="Times" w:cs="Times New Roman"/>
          <w:sz w:val="20"/>
          <w:szCs w:val="20"/>
        </w:rPr>
      </w:pPr>
      <w:r w:rsidRPr="000A4C87">
        <w:rPr>
          <w:rFonts w:ascii="Times" w:eastAsia="Times New Roman" w:hAnsi="Times" w:cs="Times New Roman"/>
          <w:sz w:val="20"/>
          <w:szCs w:val="20"/>
        </w:rPr>
        <w:t>Fanon, Frantz</w:t>
      </w:r>
    </w:p>
    <w:p w:rsidR="008E4816" w:rsidRPr="000A4C87" w:rsidRDefault="008E4816" w:rsidP="008E4816">
      <w:pPr>
        <w:ind w:left="630" w:hanging="630"/>
        <w:rPr>
          <w:rFonts w:ascii="Times" w:eastAsia="Times New Roman" w:hAnsi="Times" w:cs="Times New Roman"/>
          <w:sz w:val="20"/>
          <w:szCs w:val="20"/>
        </w:rPr>
      </w:pPr>
      <w:r w:rsidRPr="000A4C87">
        <w:rPr>
          <w:rFonts w:ascii="Times" w:eastAsia="Times New Roman" w:hAnsi="Times" w:cs="Times New Roman"/>
          <w:sz w:val="20"/>
          <w:szCs w:val="20"/>
        </w:rPr>
        <w:t>2008</w:t>
      </w:r>
      <w:r>
        <w:rPr>
          <w:rFonts w:ascii="Times" w:eastAsia="Times New Roman" w:hAnsi="Times" w:cs="Times New Roman"/>
          <w:sz w:val="20"/>
          <w:szCs w:val="20"/>
        </w:rPr>
        <w:t xml:space="preserve">     </w:t>
      </w:r>
      <w:r w:rsidRPr="000A4C87">
        <w:rPr>
          <w:rFonts w:ascii="Times" w:eastAsia="Times New Roman" w:hAnsi="Times" w:cs="Times New Roman"/>
          <w:sz w:val="20"/>
          <w:szCs w:val="20"/>
        </w:rPr>
        <w:t>Black Skin, White Masks. Revised. Grove Press.</w:t>
      </w:r>
    </w:p>
    <w:p w:rsidR="008E4816" w:rsidRPr="000A4C87" w:rsidRDefault="008E4816" w:rsidP="008E4816">
      <w:pPr>
        <w:ind w:left="630" w:hanging="630"/>
        <w:rPr>
          <w:rFonts w:ascii="Times" w:eastAsia="Times New Roman" w:hAnsi="Times" w:cs="Times New Roman"/>
          <w:sz w:val="20"/>
          <w:szCs w:val="20"/>
        </w:rPr>
      </w:pPr>
      <w:r w:rsidRPr="000A4C87">
        <w:rPr>
          <w:rFonts w:ascii="Times" w:eastAsia="Times New Roman" w:hAnsi="Times" w:cs="Times New Roman"/>
          <w:sz w:val="20"/>
          <w:szCs w:val="20"/>
        </w:rPr>
        <w:t>Geertz, Clifford</w:t>
      </w:r>
    </w:p>
    <w:p w:rsidR="008E4816" w:rsidRPr="000A4C87" w:rsidRDefault="008E4816" w:rsidP="008E4816">
      <w:pPr>
        <w:ind w:left="630" w:hanging="630"/>
        <w:rPr>
          <w:rFonts w:ascii="Times" w:eastAsia="Times New Roman" w:hAnsi="Times" w:cs="Times New Roman"/>
          <w:sz w:val="20"/>
          <w:szCs w:val="20"/>
        </w:rPr>
      </w:pPr>
      <w:r w:rsidRPr="000A4C87">
        <w:rPr>
          <w:rFonts w:ascii="Times" w:eastAsia="Times New Roman" w:hAnsi="Times" w:cs="Times New Roman"/>
          <w:sz w:val="20"/>
          <w:szCs w:val="20"/>
        </w:rPr>
        <w:t>1973</w:t>
      </w:r>
      <w:r>
        <w:rPr>
          <w:rFonts w:ascii="Times" w:eastAsia="Times New Roman" w:hAnsi="Times" w:cs="Times New Roman"/>
          <w:sz w:val="20"/>
          <w:szCs w:val="20"/>
        </w:rPr>
        <w:t xml:space="preserve">     </w:t>
      </w:r>
      <w:r w:rsidRPr="000A4C87">
        <w:rPr>
          <w:rFonts w:ascii="Times" w:eastAsia="Times New Roman" w:hAnsi="Times" w:cs="Times New Roman"/>
          <w:sz w:val="20"/>
          <w:szCs w:val="20"/>
        </w:rPr>
        <w:t xml:space="preserve">The Interpretation </w:t>
      </w:r>
      <w:proofErr w:type="gramStart"/>
      <w:r w:rsidRPr="000A4C87">
        <w:rPr>
          <w:rFonts w:ascii="Times" w:eastAsia="Times New Roman" w:hAnsi="Times" w:cs="Times New Roman"/>
          <w:sz w:val="20"/>
          <w:szCs w:val="20"/>
        </w:rPr>
        <w:t>Of</w:t>
      </w:r>
      <w:proofErr w:type="gramEnd"/>
      <w:r w:rsidRPr="000A4C87">
        <w:rPr>
          <w:rFonts w:ascii="Times" w:eastAsia="Times New Roman" w:hAnsi="Times" w:cs="Times New Roman"/>
          <w:sz w:val="20"/>
          <w:szCs w:val="20"/>
        </w:rPr>
        <w:t xml:space="preserve"> Cultures. New York: Basic Books.</w:t>
      </w:r>
    </w:p>
    <w:p w:rsidR="008E4816" w:rsidRPr="000A4C87" w:rsidRDefault="008E4816" w:rsidP="008E4816">
      <w:pPr>
        <w:ind w:left="630" w:hanging="630"/>
        <w:rPr>
          <w:rFonts w:ascii="Times" w:eastAsia="Times New Roman" w:hAnsi="Times" w:cs="Times New Roman"/>
          <w:sz w:val="20"/>
          <w:szCs w:val="20"/>
        </w:rPr>
      </w:pPr>
      <w:r w:rsidRPr="000A4C87">
        <w:rPr>
          <w:rFonts w:ascii="Times" w:eastAsia="Times New Roman" w:hAnsi="Times" w:cs="Times New Roman"/>
          <w:sz w:val="20"/>
          <w:szCs w:val="20"/>
        </w:rPr>
        <w:t>Jackson, John L., Jr.</w:t>
      </w:r>
    </w:p>
    <w:p w:rsidR="008E4816" w:rsidRPr="000A4C87" w:rsidRDefault="008E4816" w:rsidP="008E4816">
      <w:pPr>
        <w:ind w:left="630" w:hanging="630"/>
        <w:rPr>
          <w:rFonts w:ascii="Times" w:eastAsia="Times New Roman" w:hAnsi="Times" w:cs="Times New Roman"/>
          <w:sz w:val="20"/>
          <w:szCs w:val="20"/>
        </w:rPr>
      </w:pPr>
      <w:r w:rsidRPr="000A4C87">
        <w:rPr>
          <w:rFonts w:ascii="Times" w:eastAsia="Times New Roman" w:hAnsi="Times" w:cs="Times New Roman"/>
          <w:sz w:val="20"/>
          <w:szCs w:val="20"/>
        </w:rPr>
        <w:t>2001</w:t>
      </w:r>
      <w:r>
        <w:rPr>
          <w:rFonts w:ascii="Times" w:eastAsia="Times New Roman" w:hAnsi="Times" w:cs="Times New Roman"/>
          <w:sz w:val="20"/>
          <w:szCs w:val="20"/>
        </w:rPr>
        <w:t xml:space="preserve">     </w:t>
      </w:r>
      <w:proofErr w:type="spellStart"/>
      <w:r w:rsidRPr="000A4C87">
        <w:rPr>
          <w:rFonts w:ascii="Times" w:eastAsia="Times New Roman" w:hAnsi="Times" w:cs="Times New Roman"/>
          <w:sz w:val="20"/>
          <w:szCs w:val="20"/>
        </w:rPr>
        <w:t>Harlemworld</w:t>
      </w:r>
      <w:proofErr w:type="spellEnd"/>
      <w:r w:rsidRPr="000A4C87">
        <w:rPr>
          <w:rFonts w:ascii="Times" w:eastAsia="Times New Roman" w:hAnsi="Times" w:cs="Times New Roman"/>
          <w:sz w:val="20"/>
          <w:szCs w:val="20"/>
        </w:rPr>
        <w:t>: Doing Race and Class in Contemporary Black America. 1st edition. University Of Chicago Press.</w:t>
      </w:r>
    </w:p>
    <w:p w:rsidR="008E4816" w:rsidRPr="000A4C87" w:rsidRDefault="008E4816" w:rsidP="008E4816">
      <w:pPr>
        <w:ind w:left="630" w:hanging="630"/>
        <w:rPr>
          <w:rFonts w:ascii="Times" w:eastAsia="Times New Roman" w:hAnsi="Times" w:cs="Times New Roman"/>
          <w:sz w:val="20"/>
          <w:szCs w:val="20"/>
        </w:rPr>
      </w:pPr>
      <w:r w:rsidRPr="000A4C87">
        <w:rPr>
          <w:rFonts w:ascii="Times" w:eastAsia="Times New Roman" w:hAnsi="Times" w:cs="Times New Roman"/>
          <w:sz w:val="20"/>
          <w:szCs w:val="20"/>
        </w:rPr>
        <w:t>2005</w:t>
      </w:r>
      <w:r>
        <w:rPr>
          <w:rFonts w:ascii="Times" w:eastAsia="Times New Roman" w:hAnsi="Times" w:cs="Times New Roman"/>
          <w:sz w:val="20"/>
          <w:szCs w:val="20"/>
        </w:rPr>
        <w:t xml:space="preserve">     </w:t>
      </w:r>
      <w:r w:rsidRPr="000A4C87">
        <w:rPr>
          <w:rFonts w:ascii="Times" w:eastAsia="Times New Roman" w:hAnsi="Times" w:cs="Times New Roman"/>
          <w:sz w:val="20"/>
          <w:szCs w:val="20"/>
        </w:rPr>
        <w:t>Real Black: Adventures in Racial Sincerity. University Of Chicago Press.</w:t>
      </w:r>
    </w:p>
    <w:p w:rsidR="008E4816" w:rsidRPr="000A4C87" w:rsidRDefault="008E4816" w:rsidP="008E4816">
      <w:pPr>
        <w:ind w:left="630" w:hanging="630"/>
        <w:rPr>
          <w:rFonts w:ascii="Times" w:eastAsia="Times New Roman" w:hAnsi="Times" w:cs="Times New Roman"/>
          <w:sz w:val="20"/>
          <w:szCs w:val="20"/>
        </w:rPr>
      </w:pPr>
      <w:r w:rsidRPr="000A4C87">
        <w:rPr>
          <w:rFonts w:ascii="Times" w:eastAsia="Times New Roman" w:hAnsi="Times" w:cs="Times New Roman"/>
          <w:sz w:val="20"/>
          <w:szCs w:val="20"/>
        </w:rPr>
        <w:t>2013</w:t>
      </w:r>
      <w:r>
        <w:rPr>
          <w:rFonts w:ascii="Times" w:eastAsia="Times New Roman" w:hAnsi="Times" w:cs="Times New Roman"/>
          <w:sz w:val="20"/>
          <w:szCs w:val="20"/>
        </w:rPr>
        <w:t xml:space="preserve">     </w:t>
      </w:r>
      <w:r w:rsidRPr="000A4C87">
        <w:rPr>
          <w:rFonts w:ascii="Times" w:eastAsia="Times New Roman" w:hAnsi="Times" w:cs="Times New Roman"/>
          <w:sz w:val="20"/>
          <w:szCs w:val="20"/>
        </w:rPr>
        <w:t>Thin Description: Ethnography and the African Hebrew Israelites of Jerusalem. Cambridge, MA: Harvard University Press.</w:t>
      </w:r>
    </w:p>
    <w:p w:rsidR="008E4816" w:rsidRPr="000A4C87" w:rsidRDefault="008E4816" w:rsidP="008E4816">
      <w:pPr>
        <w:ind w:left="630" w:hanging="630"/>
        <w:rPr>
          <w:rFonts w:ascii="Times" w:eastAsia="Times New Roman" w:hAnsi="Times" w:cs="Times New Roman"/>
          <w:sz w:val="20"/>
          <w:szCs w:val="20"/>
        </w:rPr>
      </w:pPr>
      <w:proofErr w:type="spellStart"/>
      <w:r w:rsidRPr="000A4C87">
        <w:rPr>
          <w:rFonts w:ascii="Times" w:eastAsia="Times New Roman" w:hAnsi="Times" w:cs="Times New Roman"/>
          <w:sz w:val="20"/>
          <w:szCs w:val="20"/>
        </w:rPr>
        <w:t>Latour</w:t>
      </w:r>
      <w:proofErr w:type="spellEnd"/>
      <w:r w:rsidRPr="000A4C87">
        <w:rPr>
          <w:rFonts w:ascii="Times" w:eastAsia="Times New Roman" w:hAnsi="Times" w:cs="Times New Roman"/>
          <w:sz w:val="20"/>
          <w:szCs w:val="20"/>
        </w:rPr>
        <w:t>, Bruno</w:t>
      </w:r>
    </w:p>
    <w:p w:rsidR="008E4816" w:rsidRPr="000A4C87" w:rsidRDefault="008E4816" w:rsidP="008E4816">
      <w:pPr>
        <w:ind w:left="630" w:hanging="630"/>
        <w:rPr>
          <w:rFonts w:ascii="Times" w:eastAsia="Times New Roman" w:hAnsi="Times" w:cs="Times New Roman"/>
          <w:sz w:val="20"/>
          <w:szCs w:val="20"/>
        </w:rPr>
      </w:pPr>
      <w:r w:rsidRPr="000A4C87">
        <w:rPr>
          <w:rFonts w:ascii="Times" w:eastAsia="Times New Roman" w:hAnsi="Times" w:cs="Times New Roman"/>
          <w:sz w:val="20"/>
          <w:szCs w:val="20"/>
        </w:rPr>
        <w:lastRenderedPageBreak/>
        <w:t>2010</w:t>
      </w:r>
      <w:r>
        <w:rPr>
          <w:rFonts w:ascii="Times" w:eastAsia="Times New Roman" w:hAnsi="Times" w:cs="Times New Roman"/>
          <w:sz w:val="20"/>
          <w:szCs w:val="20"/>
        </w:rPr>
        <w:t xml:space="preserve">     </w:t>
      </w:r>
      <w:r w:rsidRPr="000A4C87">
        <w:rPr>
          <w:rFonts w:ascii="Times" w:eastAsia="Times New Roman" w:hAnsi="Times" w:cs="Times New Roman"/>
          <w:sz w:val="20"/>
          <w:szCs w:val="20"/>
        </w:rPr>
        <w:t xml:space="preserve">On the Modern Cult of the </w:t>
      </w:r>
      <w:proofErr w:type="spellStart"/>
      <w:r w:rsidRPr="000A4C87">
        <w:rPr>
          <w:rFonts w:ascii="Times" w:eastAsia="Times New Roman" w:hAnsi="Times" w:cs="Times New Roman"/>
          <w:sz w:val="20"/>
          <w:szCs w:val="20"/>
        </w:rPr>
        <w:t>Factish</w:t>
      </w:r>
      <w:proofErr w:type="spellEnd"/>
      <w:r w:rsidRPr="000A4C87">
        <w:rPr>
          <w:rFonts w:ascii="Times" w:eastAsia="Times New Roman" w:hAnsi="Times" w:cs="Times New Roman"/>
          <w:sz w:val="20"/>
          <w:szCs w:val="20"/>
        </w:rPr>
        <w:t xml:space="preserve"> Gods. Durham NC</w:t>
      </w:r>
      <w:r w:rsidRPr="000A4C87">
        <w:rPr>
          <w:rFonts w:ascii="Times New Roman" w:eastAsia="Times New Roman" w:hAnsi="Times New Roman" w:cs="Times New Roman"/>
          <w:sz w:val="20"/>
          <w:szCs w:val="20"/>
        </w:rPr>
        <w:t> </w:t>
      </w:r>
      <w:r w:rsidRPr="000A4C87">
        <w:rPr>
          <w:rFonts w:ascii="Times" w:eastAsia="Times New Roman" w:hAnsi="Times" w:cs="Times New Roman"/>
          <w:sz w:val="20"/>
          <w:szCs w:val="20"/>
        </w:rPr>
        <w:t>; London: Duke University Press Books.</w:t>
      </w:r>
    </w:p>
    <w:p w:rsidR="008E4816" w:rsidRPr="000A4C87" w:rsidRDefault="008E4816" w:rsidP="008E4816">
      <w:pPr>
        <w:ind w:left="630" w:hanging="630"/>
        <w:rPr>
          <w:rFonts w:ascii="Times" w:eastAsia="Times New Roman" w:hAnsi="Times" w:cs="Times New Roman"/>
          <w:sz w:val="20"/>
          <w:szCs w:val="20"/>
        </w:rPr>
      </w:pPr>
      <w:r w:rsidRPr="000A4C87">
        <w:rPr>
          <w:rFonts w:ascii="Times" w:eastAsia="Times New Roman" w:hAnsi="Times" w:cs="Times New Roman"/>
          <w:sz w:val="20"/>
          <w:szCs w:val="20"/>
        </w:rPr>
        <w:t xml:space="preserve">Malinowski, </w:t>
      </w:r>
      <w:proofErr w:type="spellStart"/>
      <w:r w:rsidRPr="000A4C87">
        <w:rPr>
          <w:rFonts w:ascii="Times" w:eastAsia="Times New Roman" w:hAnsi="Times" w:cs="Times New Roman"/>
          <w:sz w:val="20"/>
          <w:szCs w:val="20"/>
        </w:rPr>
        <w:t>Bronislaw</w:t>
      </w:r>
      <w:proofErr w:type="spellEnd"/>
    </w:p>
    <w:p w:rsidR="008E4816" w:rsidRPr="000A4C87" w:rsidRDefault="008E4816" w:rsidP="008E4816">
      <w:pPr>
        <w:ind w:left="630" w:hanging="630"/>
        <w:rPr>
          <w:rFonts w:ascii="Times" w:eastAsia="Times New Roman" w:hAnsi="Times" w:cs="Times New Roman"/>
          <w:sz w:val="20"/>
          <w:szCs w:val="20"/>
        </w:rPr>
      </w:pPr>
      <w:r w:rsidRPr="000A4C87">
        <w:rPr>
          <w:rFonts w:ascii="Times" w:eastAsia="Times New Roman" w:hAnsi="Times" w:cs="Times New Roman"/>
          <w:sz w:val="20"/>
          <w:szCs w:val="20"/>
        </w:rPr>
        <w:t>1961</w:t>
      </w:r>
      <w:r>
        <w:rPr>
          <w:rFonts w:ascii="Times" w:eastAsia="Times New Roman" w:hAnsi="Times" w:cs="Times New Roman"/>
          <w:sz w:val="20"/>
          <w:szCs w:val="20"/>
        </w:rPr>
        <w:t xml:space="preserve">     </w:t>
      </w:r>
      <w:r w:rsidRPr="000A4C87">
        <w:rPr>
          <w:rFonts w:ascii="Times" w:eastAsia="Times New Roman" w:hAnsi="Times" w:cs="Times New Roman"/>
          <w:sz w:val="20"/>
          <w:szCs w:val="20"/>
        </w:rPr>
        <w:t xml:space="preserve">Argonauts of the Western Pacific: An Account of Native Enterprise and Adventure in the Archipelagoes of Melanesian New Guinea. First Edition </w:t>
      </w:r>
      <w:proofErr w:type="spellStart"/>
      <w:r w:rsidRPr="000A4C87">
        <w:rPr>
          <w:rFonts w:ascii="Times" w:eastAsia="Times New Roman" w:hAnsi="Times" w:cs="Times New Roman"/>
          <w:sz w:val="20"/>
          <w:szCs w:val="20"/>
        </w:rPr>
        <w:t>edition</w:t>
      </w:r>
      <w:proofErr w:type="spellEnd"/>
      <w:r w:rsidRPr="000A4C87">
        <w:rPr>
          <w:rFonts w:ascii="Times" w:eastAsia="Times New Roman" w:hAnsi="Times" w:cs="Times New Roman"/>
          <w:sz w:val="20"/>
          <w:szCs w:val="20"/>
        </w:rPr>
        <w:t>. E. P. Dutton &amp; Co.</w:t>
      </w:r>
    </w:p>
    <w:p w:rsidR="008E4816" w:rsidRPr="000A4C87" w:rsidRDefault="008E4816" w:rsidP="008E4816">
      <w:pPr>
        <w:ind w:left="630" w:hanging="630"/>
        <w:rPr>
          <w:rFonts w:ascii="Times" w:eastAsia="Times New Roman" w:hAnsi="Times" w:cs="Times New Roman"/>
          <w:sz w:val="20"/>
          <w:szCs w:val="20"/>
        </w:rPr>
      </w:pPr>
      <w:r w:rsidRPr="000A4C87">
        <w:rPr>
          <w:rFonts w:ascii="Times" w:eastAsia="Times New Roman" w:hAnsi="Times" w:cs="Times New Roman"/>
          <w:sz w:val="20"/>
          <w:szCs w:val="20"/>
        </w:rPr>
        <w:t>1978</w:t>
      </w:r>
      <w:r>
        <w:rPr>
          <w:rFonts w:ascii="Times" w:eastAsia="Times New Roman" w:hAnsi="Times" w:cs="Times New Roman"/>
          <w:sz w:val="20"/>
          <w:szCs w:val="20"/>
        </w:rPr>
        <w:t xml:space="preserve">     </w:t>
      </w:r>
      <w:r w:rsidRPr="000A4C87">
        <w:rPr>
          <w:rFonts w:ascii="Times" w:eastAsia="Times New Roman" w:hAnsi="Times" w:cs="Times New Roman"/>
          <w:sz w:val="20"/>
          <w:szCs w:val="20"/>
        </w:rPr>
        <w:t xml:space="preserve">Coral Gardens </w:t>
      </w:r>
      <w:proofErr w:type="gramStart"/>
      <w:r w:rsidRPr="000A4C87">
        <w:rPr>
          <w:rFonts w:ascii="Times" w:eastAsia="Times New Roman" w:hAnsi="Times" w:cs="Times New Roman"/>
          <w:sz w:val="20"/>
          <w:szCs w:val="20"/>
        </w:rPr>
        <w:t>And</w:t>
      </w:r>
      <w:proofErr w:type="gramEnd"/>
      <w:r w:rsidRPr="000A4C87">
        <w:rPr>
          <w:rFonts w:ascii="Times" w:eastAsia="Times New Roman" w:hAnsi="Times" w:cs="Times New Roman"/>
          <w:sz w:val="20"/>
          <w:szCs w:val="20"/>
        </w:rPr>
        <w:t xml:space="preserve"> Their Magic: A Study of the Methods of Tilling the Soil and of Agricultural Rites in the Trobriand Islands: Two Volumes Bound As One. First Dover Edition </w:t>
      </w:r>
      <w:proofErr w:type="spellStart"/>
      <w:r w:rsidRPr="000A4C87">
        <w:rPr>
          <w:rFonts w:ascii="Times" w:eastAsia="Times New Roman" w:hAnsi="Times" w:cs="Times New Roman"/>
          <w:sz w:val="20"/>
          <w:szCs w:val="20"/>
        </w:rPr>
        <w:t>edition</w:t>
      </w:r>
      <w:proofErr w:type="spellEnd"/>
      <w:r w:rsidRPr="000A4C87">
        <w:rPr>
          <w:rFonts w:ascii="Times" w:eastAsia="Times New Roman" w:hAnsi="Times" w:cs="Times New Roman"/>
          <w:sz w:val="20"/>
          <w:szCs w:val="20"/>
        </w:rPr>
        <w:t>. New York: Dover Publications.</w:t>
      </w:r>
    </w:p>
    <w:p w:rsidR="008E4816" w:rsidRDefault="008E4816" w:rsidP="008E4816"/>
    <w:p w:rsidR="008E4816" w:rsidRPr="008E4816" w:rsidRDefault="008E4816">
      <w:pPr>
        <w:rPr>
          <w:rFonts w:ascii="Times New Roman" w:hAnsi="Times New Roman" w:cs="Times New Roman"/>
          <w:b/>
          <w:sz w:val="24"/>
          <w:szCs w:val="24"/>
        </w:rPr>
      </w:pPr>
    </w:p>
    <w:sectPr w:rsidR="008E4816" w:rsidRPr="008E4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19"/>
    <w:rsid w:val="00281CDC"/>
    <w:rsid w:val="004F4019"/>
    <w:rsid w:val="006027B9"/>
    <w:rsid w:val="00691A6A"/>
    <w:rsid w:val="008B131E"/>
    <w:rsid w:val="008E4816"/>
    <w:rsid w:val="008F668F"/>
    <w:rsid w:val="00A046DD"/>
    <w:rsid w:val="00E9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ACB35-4A62-4722-90EF-E573A895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Jobson</dc:creator>
  <cp:keywords/>
  <dc:description/>
  <cp:lastModifiedBy>Ryan Jobson</cp:lastModifiedBy>
  <cp:revision>5</cp:revision>
  <dcterms:created xsi:type="dcterms:W3CDTF">2015-03-12T06:00:00Z</dcterms:created>
  <dcterms:modified xsi:type="dcterms:W3CDTF">2015-03-12T14:37:00Z</dcterms:modified>
</cp:coreProperties>
</file>